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7C" w:rsidRDefault="004C4C7C" w:rsidP="004C4C7C">
      <w:pPr>
        <w:jc w:val="both"/>
        <w:rPr>
          <w:b/>
        </w:rPr>
      </w:pPr>
    </w:p>
    <w:p w:rsidR="004C4C7C" w:rsidRDefault="004C4C7C" w:rsidP="004C4C7C">
      <w:pPr>
        <w:pStyle w:val="ListParagraph"/>
        <w:ind w:left="644"/>
        <w:jc w:val="both"/>
        <w:rPr>
          <w:b/>
        </w:rPr>
      </w:pPr>
    </w:p>
    <w:p w:rsidR="004C4C7C" w:rsidRDefault="004C4C7C" w:rsidP="004C4C7C">
      <w:pPr>
        <w:pStyle w:val="ListParagraph"/>
        <w:ind w:left="644"/>
        <w:jc w:val="both"/>
        <w:rPr>
          <w:b/>
        </w:rPr>
      </w:pPr>
    </w:p>
    <w:p w:rsidR="004C4C7C" w:rsidRDefault="004C4C7C" w:rsidP="004C4C7C">
      <w:pPr>
        <w:pStyle w:val="ListParagraph"/>
        <w:ind w:left="644"/>
        <w:jc w:val="both"/>
        <w:rPr>
          <w:b/>
        </w:rPr>
      </w:pPr>
    </w:p>
    <w:p w:rsidR="004C4C7C" w:rsidRDefault="004C4C7C" w:rsidP="004C4C7C">
      <w:pPr>
        <w:pStyle w:val="ListParagraph"/>
        <w:ind w:left="644"/>
        <w:jc w:val="both"/>
        <w:rPr>
          <w:b/>
        </w:rPr>
      </w:pPr>
    </w:p>
    <w:p w:rsidR="004C4C7C" w:rsidRDefault="004C4C7C" w:rsidP="004C4C7C">
      <w:pPr>
        <w:pStyle w:val="ListParagraph"/>
        <w:ind w:left="644"/>
        <w:jc w:val="both"/>
        <w:rPr>
          <w:b/>
        </w:rPr>
      </w:pPr>
      <w:r>
        <w:rPr>
          <w:b/>
        </w:rPr>
        <w:t xml:space="preserve">Tilkynning til Nasdaq, á fundi sveitarstjórnar Langanesbyggðar var fjárhagsáætlun Langanesbyggðar 2013 samþykkt samhljóða sjá meðfylgjandi. </w:t>
      </w:r>
    </w:p>
    <w:p w:rsidR="004C4C7C" w:rsidRDefault="004C4C7C" w:rsidP="004C4C7C">
      <w:pPr>
        <w:pStyle w:val="ListParagraph"/>
        <w:ind w:left="644"/>
        <w:jc w:val="both"/>
        <w:rPr>
          <w:b/>
        </w:rPr>
      </w:pPr>
    </w:p>
    <w:p w:rsidR="004C4C7C" w:rsidRDefault="004C4C7C" w:rsidP="004C4C7C">
      <w:pPr>
        <w:pStyle w:val="ListParagraph"/>
        <w:ind w:left="644"/>
        <w:jc w:val="both"/>
        <w:rPr>
          <w:b/>
        </w:rPr>
      </w:pPr>
    </w:p>
    <w:p w:rsidR="004C4C7C" w:rsidRDefault="004C4C7C" w:rsidP="004C4C7C">
      <w:pPr>
        <w:pStyle w:val="ListParagraph"/>
        <w:ind w:left="644"/>
        <w:jc w:val="both"/>
        <w:rPr>
          <w:b/>
        </w:rPr>
      </w:pPr>
    </w:p>
    <w:p w:rsidR="004C4C7C" w:rsidRDefault="004C4C7C" w:rsidP="004C4C7C">
      <w:pPr>
        <w:pStyle w:val="ListParagraph"/>
        <w:ind w:left="644"/>
        <w:jc w:val="both"/>
        <w:rPr>
          <w:b/>
        </w:rPr>
      </w:pPr>
    </w:p>
    <w:p w:rsidR="004C4C7C" w:rsidRDefault="004C4C7C" w:rsidP="004C4C7C">
      <w:pPr>
        <w:pStyle w:val="ListParagraph"/>
        <w:ind w:left="644"/>
        <w:jc w:val="both"/>
        <w:rPr>
          <w:b/>
        </w:rPr>
      </w:pPr>
    </w:p>
    <w:p w:rsidR="004C4C7C" w:rsidRPr="004C4C7C" w:rsidRDefault="004C4C7C" w:rsidP="004C4C7C">
      <w:pPr>
        <w:pStyle w:val="ListParagraph"/>
        <w:ind w:left="644"/>
        <w:jc w:val="both"/>
        <w:rPr>
          <w:b/>
        </w:rPr>
      </w:pPr>
      <w:r w:rsidRPr="004C4C7C">
        <w:rPr>
          <w:b/>
        </w:rPr>
        <w:t xml:space="preserve">Fjárhagsáætlun 2013 síðari umræða </w:t>
      </w:r>
    </w:p>
    <w:p w:rsidR="004C4C7C" w:rsidRDefault="004C4C7C" w:rsidP="004C4C7C">
      <w:pPr>
        <w:pStyle w:val="ListParagraph"/>
        <w:ind w:left="644"/>
        <w:jc w:val="both"/>
        <w:rPr>
          <w:b/>
        </w:rPr>
      </w:pPr>
    </w:p>
    <w:p w:rsidR="004C4C7C" w:rsidRDefault="004C4C7C" w:rsidP="004C4C7C">
      <w:pPr>
        <w:jc w:val="both"/>
        <w:rPr>
          <w:b/>
        </w:rPr>
      </w:pPr>
      <w:r>
        <w:rPr>
          <w:b/>
        </w:rPr>
        <w:t xml:space="preserve">Helstu forsendur og rekstrarniðurstöður: </w:t>
      </w:r>
    </w:p>
    <w:p w:rsidR="004C4C7C" w:rsidRDefault="004C4C7C" w:rsidP="004C4C7C">
      <w:pPr>
        <w:jc w:val="both"/>
      </w:pPr>
      <w:r>
        <w:t xml:space="preserve">Samkvæmt fjárhagsáætlun 2013 eru útsvar, skatttekjur og fasteignaskattar sveitarfélagsins áætlaðar rúmlega 215,3  milljónir kr. framlög úr jöfnunarsjóði sveitarfélaga tæplega 131,8 milljónir kr. og aðrar tekjur rúmlega 247,4 milljónir kr. Samtals eru tekjur áætlaðar 594,5 milljónir kr. </w:t>
      </w:r>
    </w:p>
    <w:p w:rsidR="004C4C7C" w:rsidRDefault="004C4C7C" w:rsidP="004C4C7C">
      <w:pPr>
        <w:jc w:val="both"/>
      </w:pPr>
      <w:r>
        <w:t xml:space="preserve">Gert er ráð fyrir að laun og launatengd gjöld sveitarfélagsins og stofnanna þess verði 314.0 milljónir </w:t>
      </w:r>
      <w:proofErr w:type="spellStart"/>
      <w:r>
        <w:t>kr</w:t>
      </w:r>
      <w:proofErr w:type="spellEnd"/>
      <w:r>
        <w:t xml:space="preserve"> eða sem svarar 53 % af heildartekjum þess. Annar rekstrarkostnaður er áætlaður 171,8 milljónir kr. Afskriftir eru áætlaðar 46,6 milljónir kr. Fjármagnsgjöld eru áætluð 42,4 milljónir kr. </w:t>
      </w:r>
    </w:p>
    <w:p w:rsidR="004C4C7C" w:rsidRDefault="004C4C7C" w:rsidP="004C4C7C">
      <w:pPr>
        <w:jc w:val="both"/>
      </w:pPr>
      <w:r>
        <w:t xml:space="preserve">Rekstrarniðurstaða A og B hluta verður fyrir afskriftir og fjármagnsgjöld jákvæð um 108,7 milljónir kr. Rekstrarniðurstaða ársins er jákvæð að upphæð 19,6 milljónir kr. </w:t>
      </w:r>
    </w:p>
    <w:p w:rsidR="004C4C7C" w:rsidRDefault="004C4C7C" w:rsidP="004C4C7C">
      <w:pPr>
        <w:jc w:val="both"/>
      </w:pPr>
      <w:r>
        <w:t xml:space="preserve">Gert er ráð fyrir að veltufé frá rekstri verði jákvætt um 84,4 milljónir kr. sem er 14,2% af heildartekjum. </w:t>
      </w:r>
    </w:p>
    <w:p w:rsidR="004C4C7C" w:rsidRDefault="004C4C7C" w:rsidP="004C4C7C">
      <w:pPr>
        <w:jc w:val="both"/>
      </w:pPr>
      <w:r>
        <w:t xml:space="preserve">Handbært fé í árslok er áætlað 37,0 milljónir kr. </w:t>
      </w:r>
    </w:p>
    <w:p w:rsidR="004C4C7C" w:rsidRDefault="004C4C7C" w:rsidP="004C4C7C">
      <w:pPr>
        <w:jc w:val="both"/>
      </w:pPr>
    </w:p>
    <w:p w:rsidR="004C4C7C" w:rsidRDefault="004C4C7C" w:rsidP="004C4C7C">
      <w:pPr>
        <w:jc w:val="both"/>
      </w:pPr>
    </w:p>
    <w:p w:rsidR="004C4C7C" w:rsidRDefault="004C4C7C" w:rsidP="004C4C7C">
      <w:pPr>
        <w:jc w:val="both"/>
      </w:pPr>
    </w:p>
    <w:p w:rsidR="004C4C7C" w:rsidRDefault="004C4C7C" w:rsidP="004C4C7C">
      <w:pPr>
        <w:jc w:val="both"/>
      </w:pPr>
      <w:r>
        <w:t>Þórshöfn 6. desember 2012</w:t>
      </w:r>
    </w:p>
    <w:p w:rsidR="004C4C7C" w:rsidRDefault="004C4C7C" w:rsidP="004C4C7C">
      <w:pPr>
        <w:jc w:val="both"/>
      </w:pPr>
    </w:p>
    <w:p w:rsidR="004C4C7C" w:rsidRDefault="004C4C7C" w:rsidP="004C4C7C">
      <w:pPr>
        <w:jc w:val="both"/>
      </w:pPr>
      <w:r>
        <w:t xml:space="preserve">Gunnólfur Lárusson,sveitarstjóri </w:t>
      </w:r>
    </w:p>
    <w:sectPr w:rsidR="004C4C7C" w:rsidSect="009649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E7303"/>
    <w:multiLevelType w:val="hybridMultilevel"/>
    <w:tmpl w:val="A05802D4"/>
    <w:lvl w:ilvl="0" w:tplc="B9769556">
      <w:start w:val="1"/>
      <w:numFmt w:val="decimal"/>
      <w:lvlText w:val="%1."/>
      <w:lvlJc w:val="left"/>
      <w:pPr>
        <w:ind w:left="644" w:hanging="360"/>
      </w:pPr>
    </w:lvl>
    <w:lvl w:ilvl="1" w:tplc="040F0019">
      <w:start w:val="1"/>
      <w:numFmt w:val="decimal"/>
      <w:lvlText w:val="%2."/>
      <w:lvlJc w:val="left"/>
      <w:pPr>
        <w:tabs>
          <w:tab w:val="num" w:pos="1440"/>
        </w:tabs>
        <w:ind w:left="1440" w:hanging="360"/>
      </w:pPr>
    </w:lvl>
    <w:lvl w:ilvl="2" w:tplc="040F001B">
      <w:start w:val="1"/>
      <w:numFmt w:val="decimal"/>
      <w:lvlText w:val="%3."/>
      <w:lvlJc w:val="left"/>
      <w:pPr>
        <w:tabs>
          <w:tab w:val="num" w:pos="2160"/>
        </w:tabs>
        <w:ind w:left="2160" w:hanging="360"/>
      </w:pPr>
    </w:lvl>
    <w:lvl w:ilvl="3" w:tplc="040F000F">
      <w:start w:val="1"/>
      <w:numFmt w:val="decimal"/>
      <w:lvlText w:val="%4."/>
      <w:lvlJc w:val="left"/>
      <w:pPr>
        <w:tabs>
          <w:tab w:val="num" w:pos="2880"/>
        </w:tabs>
        <w:ind w:left="2880" w:hanging="360"/>
      </w:pPr>
    </w:lvl>
    <w:lvl w:ilvl="4" w:tplc="040F0019">
      <w:start w:val="1"/>
      <w:numFmt w:val="decimal"/>
      <w:lvlText w:val="%5."/>
      <w:lvlJc w:val="left"/>
      <w:pPr>
        <w:tabs>
          <w:tab w:val="num" w:pos="3600"/>
        </w:tabs>
        <w:ind w:left="3600" w:hanging="360"/>
      </w:pPr>
    </w:lvl>
    <w:lvl w:ilvl="5" w:tplc="040F001B">
      <w:start w:val="1"/>
      <w:numFmt w:val="decimal"/>
      <w:lvlText w:val="%6."/>
      <w:lvlJc w:val="left"/>
      <w:pPr>
        <w:tabs>
          <w:tab w:val="num" w:pos="4320"/>
        </w:tabs>
        <w:ind w:left="4320" w:hanging="360"/>
      </w:pPr>
    </w:lvl>
    <w:lvl w:ilvl="6" w:tplc="040F000F">
      <w:start w:val="1"/>
      <w:numFmt w:val="decimal"/>
      <w:lvlText w:val="%7."/>
      <w:lvlJc w:val="left"/>
      <w:pPr>
        <w:tabs>
          <w:tab w:val="num" w:pos="5040"/>
        </w:tabs>
        <w:ind w:left="5040" w:hanging="360"/>
      </w:pPr>
    </w:lvl>
    <w:lvl w:ilvl="7" w:tplc="040F0019">
      <w:start w:val="1"/>
      <w:numFmt w:val="decimal"/>
      <w:lvlText w:val="%8."/>
      <w:lvlJc w:val="left"/>
      <w:pPr>
        <w:tabs>
          <w:tab w:val="num" w:pos="5760"/>
        </w:tabs>
        <w:ind w:left="5760" w:hanging="360"/>
      </w:pPr>
    </w:lvl>
    <w:lvl w:ilvl="8" w:tplc="040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4C7C"/>
    <w:rsid w:val="004C4C7C"/>
    <w:rsid w:val="00964961"/>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C7C"/>
    <w:pPr>
      <w:ind w:left="720"/>
    </w:pPr>
  </w:style>
  <w:style w:type="paragraph" w:customStyle="1" w:styleId="Default">
    <w:name w:val="Default"/>
    <w:rsid w:val="004C4C7C"/>
    <w:pPr>
      <w:autoSpaceDE w:val="0"/>
      <w:autoSpaceDN w:val="0"/>
      <w:adjustRightInd w:val="0"/>
      <w:spacing w:after="0" w:line="240" w:lineRule="auto"/>
    </w:pPr>
    <w:rPr>
      <w:rFonts w:ascii="Times New Roman" w:eastAsia="Calibri" w:hAnsi="Times New Roman" w:cs="Times New Roman"/>
      <w:color w:val="000000"/>
      <w:sz w:val="24"/>
      <w:szCs w:val="24"/>
      <w:lang w:eastAsia="is-IS"/>
    </w:rPr>
  </w:style>
</w:styles>
</file>

<file path=word/webSettings.xml><?xml version="1.0" encoding="utf-8"?>
<w:webSettings xmlns:r="http://schemas.openxmlformats.org/officeDocument/2006/relationships" xmlns:w="http://schemas.openxmlformats.org/wordprocessingml/2006/main">
  <w:divs>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notandi</cp:lastModifiedBy>
  <cp:revision>1</cp:revision>
  <dcterms:created xsi:type="dcterms:W3CDTF">2012-12-06T21:31:00Z</dcterms:created>
  <dcterms:modified xsi:type="dcterms:W3CDTF">2012-12-06T21:35:00Z</dcterms:modified>
</cp:coreProperties>
</file>